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Theme="minorHAnsi" w:hAnsiTheme="minorHAnsi" w:eastAsiaTheme="minorEastAsia" w:cstheme="minorBidi"/>
          <w:kern w:val="44"/>
          <w:sz w:val="36"/>
          <w:szCs w:val="36"/>
        </w:rPr>
      </w:pPr>
      <w:r>
        <w:rPr>
          <w:rFonts w:hint="eastAsia" w:asciiTheme="minorHAnsi" w:hAnsiTheme="minorHAnsi" w:eastAsiaTheme="minorEastAsia" w:cstheme="minorBidi"/>
          <w:kern w:val="44"/>
          <w:sz w:val="36"/>
          <w:szCs w:val="36"/>
        </w:rPr>
        <w:t>安宁市污水处理厂自行监测方案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企业基本情况</w:t>
      </w:r>
    </w:p>
    <w:tbl>
      <w:tblPr>
        <w:tblStyle w:val="8"/>
        <w:tblW w:w="104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0"/>
        <w:gridCol w:w="78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法定代表人</w:t>
            </w:r>
          </w:p>
        </w:tc>
        <w:tc>
          <w:tcPr>
            <w:tcW w:w="7826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保建华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2.曾用名</w:t>
            </w:r>
          </w:p>
        </w:tc>
        <w:tc>
          <w:tcPr>
            <w:tcW w:w="7826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3.组织机构代码</w:t>
            </w:r>
          </w:p>
        </w:tc>
        <w:tc>
          <w:tcPr>
            <w:tcW w:w="7826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4.社会信用代码</w:t>
            </w:r>
          </w:p>
        </w:tc>
        <w:tc>
          <w:tcPr>
            <w:tcW w:w="7826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915301817312325696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5.方案审核地址</w:t>
            </w:r>
          </w:p>
        </w:tc>
        <w:tc>
          <w:tcPr>
            <w:tcW w:w="7826" w:type="dxa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云南省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省（自治区、直辖市）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昆明市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地区（市、州、盟）</w:t>
            </w:r>
          </w:p>
          <w:p>
            <w:pPr>
              <w:rPr>
                <w:rFonts w:hint="eastAsia"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安宁市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县（区、市、旗）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6.企业详细地址</w:t>
            </w:r>
          </w:p>
        </w:tc>
        <w:tc>
          <w:tcPr>
            <w:tcW w:w="7826" w:type="dxa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云南省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省（自治区、直辖市）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昆明市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地区（市、州、盟）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安宁市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县（区、市、旗）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温泉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乡（镇）</w:t>
            </w:r>
          </w:p>
          <w:p>
            <w:pPr>
              <w:rPr>
                <w:rFonts w:hint="eastAsia"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云南省安宁市温泉镇新房子村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街（村）、门牌号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7.企业地理位置</w:t>
            </w:r>
          </w:p>
        </w:tc>
        <w:tc>
          <w:tcPr>
            <w:tcW w:w="7826" w:type="dxa"/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中心经度/中心纬度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102,26,46.61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>/24,58,24.85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8.联系方式</w:t>
            </w:r>
          </w:p>
        </w:tc>
        <w:tc>
          <w:tcPr>
            <w:tcW w:w="7826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电话号码：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0871-68630495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联系人：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普杰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手机号码：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13888950742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传真号码：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0871-68630495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邮政编码：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650307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9.登记注册类型</w:t>
            </w:r>
          </w:p>
        </w:tc>
        <w:tc>
          <w:tcPr>
            <w:tcW w:w="78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tcBorders>
              <w:top w:val="single" w:color="auto" w:sz="4" w:space="0"/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10.企业规模</w:t>
            </w:r>
          </w:p>
        </w:tc>
        <w:tc>
          <w:tcPr>
            <w:tcW w:w="7826" w:type="dxa"/>
            <w:tcBorders>
              <w:top w:val="single" w:color="auto" w:sz="4" w:space="0"/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小型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11.企业类别</w:t>
            </w:r>
          </w:p>
        </w:tc>
        <w:tc>
          <w:tcPr>
            <w:tcW w:w="7826" w:type="dxa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污水处理厂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12.行业类别</w:t>
            </w:r>
          </w:p>
        </w:tc>
        <w:tc>
          <w:tcPr>
            <w:tcW w:w="7826" w:type="dxa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行业名称：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污水处理及其再生利用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行业代码：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4620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13.建成投产时间</w:t>
            </w:r>
          </w:p>
        </w:tc>
        <w:tc>
          <w:tcPr>
            <w:tcW w:w="7826" w:type="dxa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2007-01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14.所在流域</w:t>
            </w:r>
          </w:p>
        </w:tc>
        <w:tc>
          <w:tcPr>
            <w:tcW w:w="7826" w:type="dxa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流域名称：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长江流域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流域代码：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FA-FN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15.所在海域</w:t>
            </w:r>
          </w:p>
        </w:tc>
        <w:tc>
          <w:tcPr>
            <w:tcW w:w="7826" w:type="dxa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海域名称：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海域代码：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</w:t>
            </w:r>
          </w:p>
        </w:tc>
      </w:tr>
    </w:tbl>
    <w:p/>
    <w:p>
      <w:r>
        <w:br w:type="page"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2"/>
        <w:numPr>
          <w:ilvl w:val="0"/>
          <w:numId w:val="1"/>
        </w:numPr>
      </w:pPr>
      <w:r>
        <w:rPr>
          <w:rFonts w:hint="eastAsia"/>
        </w:rPr>
        <w:t>监测方案</w:t>
      </w:r>
    </w:p>
    <w:p>
      <w:pPr>
        <w:pStyle w:val="5"/>
      </w:pPr>
      <w:r>
        <w:rPr>
          <w:rFonts w:hint="eastAsia"/>
        </w:rPr>
        <w:t>废气监测方案</w:t>
      </w:r>
    </w:p>
    <w:tbl>
      <w:tblPr>
        <w:tblStyle w:val="8"/>
        <w:tblW w:w="15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1399"/>
        <w:gridCol w:w="1399"/>
        <w:gridCol w:w="1186"/>
        <w:gridCol w:w="1276"/>
        <w:gridCol w:w="1275"/>
        <w:gridCol w:w="2694"/>
        <w:gridCol w:w="708"/>
        <w:gridCol w:w="1255"/>
        <w:gridCol w:w="1399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398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排放设备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设备类型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编号</w:t>
            </w:r>
          </w:p>
        </w:tc>
        <w:tc>
          <w:tcPr>
            <w:tcW w:w="1186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监测点</w:t>
            </w:r>
          </w:p>
        </w:tc>
        <w:tc>
          <w:tcPr>
            <w:tcW w:w="1276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694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708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255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主要仪器</w:t>
            </w:r>
          </w:p>
        </w:tc>
      </w:tr>
    </w:tbl>
    <w:p/>
    <w:p>
      <w:pPr>
        <w:widowControl/>
        <w:jc w:val="left"/>
      </w:pPr>
      <w:r>
        <w:br w:type="page"/>
      </w:r>
    </w:p>
    <w:p>
      <w:p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5"/>
      </w:pPr>
      <w:r>
        <w:rPr>
          <w:rFonts w:hint="eastAsia"/>
        </w:rPr>
        <w:t>废水监测方案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5"/>
        <w:gridCol w:w="2268"/>
        <w:gridCol w:w="1236"/>
        <w:gridCol w:w="13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悬浮物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上限:10mg/L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悬浮物的测定 重量法 GB 11901-1989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石油类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石油类和动植物油的测定 红外光度法 GB/T 16488-1996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总氮（以N计）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上限:15mg/L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在线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1次/2小时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总氮的测定 碱性过硫酸钾消解紫外分光光度法 HJ 636-2012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总汞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上限:0.001mg/L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总汞的测定 冷原子吸收分光光度法HJ 597-2011 代替GB 7468-87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上限:0.01mg/L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铜、锌、铅、镉的测定 原子吸收分光光度法GB 7475-87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水温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水温的测定 温度计或颠倒温度计测定法GB 13195-91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六价铬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上限:0.05mg/L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六价铬的测定 二苯碳酰二肼分光光度法GB 7467-87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色度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上限:30倍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色度的测定GB 11903-89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阴离子表面活性剂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上限:0.5mg/L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亚甲蓝分光光度法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粪大肠菌群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上限:1000个/L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多管发酵法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五日生化需氧量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上限:10mg/L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五日生化需氧量（BOD5）的测定 稀释与接种法 HJ505-2009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化学需氧量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上限:50mg/L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在线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1次/2小时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化学需氧量的测定 重铬酸盐法 HJ 828-2017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烷基汞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1次/0年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总砷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上限:0.1mg/L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总砷的测定 二乙基二硫代氨基甲酸银分光光度法GB 7485-87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总铬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上限:0.1mg/L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总铬的测定 高锰酸钾氧化-二苯碳酰二肼分光光度法 GB/T 7466-1987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氨氮（NH3-N）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上限:5mg/L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在线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1次/2小时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氨氮的测定 纳氏试剂分光光度法 HJ 535-2009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总磷（以P计）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在线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1次/2小时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总磷的测定 钼酸铵分光光度法 GB 11893-1989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动植物油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石油类和动植物油类的测定 红外分光光度法HJ 637-2012代替GB/T 16488-1996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螳螂川排放口002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总铅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上限:0.1mg/L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城镇污水处理厂污染物排放标准[国标]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水质 铜、锌、铅、镉的测定 原子吸收分光光度法GB 7475-87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化学需氧量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总铅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氨氮（NH3-N）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总汞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色度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动植物油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pH值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悬浮物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烷基汞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五日生化需氧量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总铬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总砷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石油类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总氮（以N计）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总磷（以P计）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阴离子表面活性剂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总镉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厂内雨水、反冲洗水、生活污水排放口001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粪大肠菌群</w:t>
            </w:r>
          </w:p>
        </w:tc>
        <w:tc>
          <w:tcPr>
            <w:tcW w:w="1275" w:type="dxa"/>
          </w:tcPr>
          <w:p/>
        </w:tc>
        <w:tc>
          <w:tcPr>
            <w:tcW w:w="2268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1236" w:type="dxa"/>
          </w:tcPr>
          <w:p/>
        </w:tc>
        <w:tc>
          <w:tcPr>
            <w:tcW w:w="1316" w:type="dxa"/>
          </w:tcPr>
          <w:p>
            <w:r>
              <w:rPr>
                <w:rFonts w:hint="eastAsia"/>
              </w:rPr>
              <w:t>1次/1null</w:t>
            </w:r>
          </w:p>
        </w:tc>
        <w:tc>
          <w:tcPr>
            <w:tcW w:w="1984" w:type="dxa"/>
          </w:tcPr>
          <w:p/>
        </w:tc>
      </w:tr>
    </w:tbl>
    <w:p>
      <w:r>
        <w:br w:type="page"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  <w:bookmarkStart w:id="0" w:name="_GoBack"/>
      <w:bookmarkEnd w:id="0"/>
    </w:p>
    <w:p>
      <w:pPr>
        <w:pStyle w:val="5"/>
      </w:pPr>
      <w:r>
        <w:rPr>
          <w:rFonts w:hint="eastAsia"/>
        </w:rPr>
        <w:t>无组织监测方案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5"/>
        <w:gridCol w:w="2268"/>
        <w:gridCol w:w="1236"/>
        <w:gridCol w:w="13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</w:tbl>
    <w:p>
      <w:r>
        <w:br w:type="page"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5"/>
      </w:pPr>
      <w:r>
        <w:rPr>
          <w:rFonts w:hint="eastAsia"/>
        </w:rPr>
        <w:t>周边环境监测方案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5"/>
        <w:gridCol w:w="2268"/>
        <w:gridCol w:w="1236"/>
        <w:gridCol w:w="13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</w:tbl>
    <w:p>
      <w:r>
        <w:br w:type="page"/>
      </w:r>
    </w:p>
    <w:p>
      <w:pPr>
        <w:pStyle w:val="5"/>
      </w:pPr>
      <w:r>
        <w:rPr>
          <w:rFonts w:hint="eastAsia"/>
        </w:rPr>
        <w:t>厂界噪声监测方案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5"/>
        <w:gridCol w:w="2268"/>
        <w:gridCol w:w="1236"/>
        <w:gridCol w:w="13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  <w:r>
        <w:br w:type="page"/>
      </w:r>
    </w:p>
    <w:p>
      <w:pPr>
        <w:rPr>
          <w:rFonts w:hint="eastAsia"/>
        </w:rPr>
      </w:pPr>
    </w:p>
    <w:p>
      <w:pPr>
        <w:pStyle w:val="2"/>
        <w:numPr>
          <w:ilvl w:val="0"/>
          <w:numId w:val="1"/>
        </w:numPr>
      </w:pPr>
      <w:r>
        <w:rPr>
          <w:rFonts w:hint="eastAsia"/>
        </w:rPr>
        <w:t>企业在线监测设备信息</w:t>
      </w:r>
    </w:p>
    <w:p>
      <w:pPr>
        <w:pStyle w:val="5"/>
      </w:pPr>
      <w:r>
        <w:rPr>
          <w:rFonts w:hint="eastAsia"/>
        </w:rPr>
        <w:t>自动监测设备</w:t>
      </w:r>
    </w:p>
    <w:tbl>
      <w:tblPr>
        <w:tblStyle w:val="8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5"/>
        <w:gridCol w:w="3485"/>
        <w:gridCol w:w="3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监测设备名称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哈希总磷总氮监测仪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美国哈希CODMAXII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日本岛津氨氮分析仪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哈希总磷总氮监测仪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</w:p>
        </w:tc>
      </w:tr>
    </w:tbl>
    <w:p>
      <w:pPr>
        <w:pStyle w:val="5"/>
      </w:pPr>
      <w:r>
        <w:rPr>
          <w:rFonts w:hint="eastAsia"/>
        </w:rPr>
        <w:t>手工监测设备</w:t>
      </w:r>
    </w:p>
    <w:tbl>
      <w:tblPr>
        <w:tblStyle w:val="8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5"/>
        <w:gridCol w:w="3485"/>
        <w:gridCol w:w="3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监测设备名称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生产厂家</w:t>
            </w:r>
          </w:p>
        </w:tc>
      </w:tr>
    </w:tbl>
    <w:p>
      <w:pPr>
        <w:pStyle w:val="2"/>
        <w:numPr>
          <w:ilvl w:val="0"/>
          <w:numId w:val="1"/>
        </w:numPr>
      </w:pPr>
      <w:r>
        <w:rPr>
          <w:rFonts w:hint="eastAsia"/>
        </w:rPr>
        <w:t>企业治理设施</w:t>
      </w:r>
    </w:p>
    <w:p>
      <w:pPr>
        <w:pStyle w:val="5"/>
      </w:pPr>
      <w:r>
        <w:rPr>
          <w:rFonts w:hint="eastAsia"/>
        </w:rPr>
        <w:t>废气治理设施</w:t>
      </w:r>
    </w:p>
    <w:tbl>
      <w:tblPr>
        <w:tblStyle w:val="8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2091"/>
        <w:gridCol w:w="2091"/>
        <w:gridCol w:w="2091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设施名称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所在排放设备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设施类别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处理工艺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处理效率</w:t>
            </w:r>
          </w:p>
        </w:tc>
      </w:tr>
    </w:tbl>
    <w:p>
      <w:pPr>
        <w:pStyle w:val="5"/>
      </w:pPr>
      <w:r>
        <w:rPr>
          <w:rFonts w:hint="eastAsia"/>
        </w:rPr>
        <w:t>废水治理设施</w:t>
      </w:r>
    </w:p>
    <w:tbl>
      <w:tblPr>
        <w:tblStyle w:val="8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2091"/>
        <w:gridCol w:w="2091"/>
        <w:gridCol w:w="2091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设施名称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处理方法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处理能力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处理工艺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投资总额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A6594"/>
    <w:multiLevelType w:val="multilevel"/>
    <w:tmpl w:val="0BCA6594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7D2"/>
    <w:rsid w:val="0000372D"/>
    <w:rsid w:val="000A2111"/>
    <w:rsid w:val="001E34AF"/>
    <w:rsid w:val="002317D2"/>
    <w:rsid w:val="00255161"/>
    <w:rsid w:val="003B53B4"/>
    <w:rsid w:val="00420EB2"/>
    <w:rsid w:val="00443BF4"/>
    <w:rsid w:val="00471402"/>
    <w:rsid w:val="004A1C3F"/>
    <w:rsid w:val="007F7496"/>
    <w:rsid w:val="00842E43"/>
    <w:rsid w:val="008B1FB9"/>
    <w:rsid w:val="00A15DF7"/>
    <w:rsid w:val="00A213C7"/>
    <w:rsid w:val="00B95592"/>
    <w:rsid w:val="00F15F19"/>
    <w:rsid w:val="00FB00D3"/>
    <w:rsid w:val="00FE5115"/>
    <w:rsid w:val="3043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5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6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0"/>
      <w:szCs w:val="32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标题 字符"/>
    <w:basedOn w:val="9"/>
    <w:link w:val="6"/>
    <w:qFormat/>
    <w:uiPriority w:val="10"/>
    <w:rPr>
      <w:rFonts w:asciiTheme="majorHAnsi" w:hAnsiTheme="majorHAnsi" w:eastAsiaTheme="majorEastAsia" w:cstheme="majorBidi"/>
      <w:b/>
      <w:bCs/>
      <w:sz w:val="30"/>
      <w:szCs w:val="32"/>
    </w:rPr>
  </w:style>
  <w:style w:type="character" w:customStyle="1" w:styleId="11">
    <w:name w:val="标题 1 字符"/>
    <w:basedOn w:val="9"/>
    <w:link w:val="2"/>
    <w:uiPriority w:val="9"/>
    <w:rPr>
      <w:b/>
      <w:bCs/>
      <w:kern w:val="44"/>
      <w:sz w:val="30"/>
      <w:szCs w:val="44"/>
    </w:rPr>
  </w:style>
  <w:style w:type="character" w:customStyle="1" w:styleId="12">
    <w:name w:val="页眉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3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副标题 字符"/>
    <w:basedOn w:val="9"/>
    <w:link w:val="5"/>
    <w:qFormat/>
    <w:uiPriority w:val="11"/>
    <w:rPr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202</Words>
  <Characters>1154</Characters>
  <Lines>9</Lines>
  <Paragraphs>2</Paragraphs>
  <TotalTime>503</TotalTime>
  <ScaleCrop>false</ScaleCrop>
  <LinksUpToDate>false</LinksUpToDate>
  <CharactersWithSpaces>1354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2019-03-15T07:57:00Z</dcterms:created>
  <dc:creator>hz pan</dc:creator>
  <cp:lastModifiedBy>阿谧--醉清风</cp:lastModifiedBy>
  <dcterms:modified xsi:type="dcterms:W3CDTF">2020-06-10T07:18:30Z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